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DD" w:rsidRPr="00BF4956" w:rsidRDefault="005E6FDD" w:rsidP="005E6FDD">
      <w:pPr>
        <w:spacing w:line="276" w:lineRule="auto"/>
        <w:rPr>
          <w:rFonts w:cs="Calibri"/>
          <w:b/>
          <w:szCs w:val="22"/>
          <w:u w:val="single"/>
        </w:rPr>
      </w:pPr>
      <w:r w:rsidRPr="00BF4956">
        <w:rPr>
          <w:rFonts w:cs="Calibri"/>
          <w:b/>
          <w:szCs w:val="22"/>
          <w:u w:val="single"/>
        </w:rPr>
        <w:t>For Immediate Release</w:t>
      </w:r>
    </w:p>
    <w:p w:rsidR="005E6FDD" w:rsidRDefault="005E6FDD" w:rsidP="005E6FDD">
      <w:pPr>
        <w:spacing w:line="276" w:lineRule="auto"/>
        <w:jc w:val="center"/>
        <w:rPr>
          <w:rFonts w:cs="Calibri"/>
          <w:b/>
          <w:szCs w:val="22"/>
        </w:rPr>
      </w:pPr>
    </w:p>
    <w:p w:rsidR="005E6FDD" w:rsidRDefault="005E6FDD" w:rsidP="005E6FDD">
      <w:pPr>
        <w:spacing w:line="276" w:lineRule="auto"/>
        <w:jc w:val="center"/>
        <w:rPr>
          <w:rFonts w:cs="Calibri"/>
          <w:b/>
          <w:szCs w:val="22"/>
        </w:rPr>
      </w:pPr>
      <w:r>
        <w:rPr>
          <w:rFonts w:cs="Calibri"/>
          <w:b/>
          <w:szCs w:val="22"/>
        </w:rPr>
        <w:t>Bi</w:t>
      </w:r>
      <w:r w:rsidRPr="00125A74">
        <w:rPr>
          <w:rFonts w:cs="Calibri"/>
          <w:b/>
          <w:szCs w:val="22"/>
        </w:rPr>
        <w:t>-L</w:t>
      </w:r>
      <w:r>
        <w:rPr>
          <w:rFonts w:cs="Calibri"/>
          <w:b/>
          <w:szCs w:val="22"/>
        </w:rPr>
        <w:t xml:space="preserve">o Holdings Enters into Agreement with </w:t>
      </w:r>
      <w:r w:rsidRPr="00C25D78">
        <w:rPr>
          <w:rFonts w:cs="Calibri"/>
          <w:b/>
          <w:szCs w:val="22"/>
        </w:rPr>
        <w:t>Piggly Wiggly Carolina</w:t>
      </w:r>
      <w:r>
        <w:rPr>
          <w:rFonts w:cs="Calibri"/>
          <w:b/>
          <w:szCs w:val="22"/>
        </w:rPr>
        <w:t xml:space="preserve"> Company to Acquire 22 Stores</w:t>
      </w:r>
    </w:p>
    <w:p w:rsidR="005E6FDD" w:rsidRDefault="005E6FDD" w:rsidP="005E6FDD">
      <w:pPr>
        <w:spacing w:line="276" w:lineRule="auto"/>
        <w:jc w:val="center"/>
        <w:rPr>
          <w:rFonts w:cs="Calibri"/>
          <w:b/>
          <w:bCs/>
          <w:szCs w:val="22"/>
        </w:rPr>
      </w:pPr>
    </w:p>
    <w:p w:rsidR="005E6FDD" w:rsidRDefault="005E6FDD" w:rsidP="005E6FDD">
      <w:pPr>
        <w:spacing w:line="276" w:lineRule="auto"/>
        <w:rPr>
          <w:rFonts w:cs="Calibri"/>
          <w:szCs w:val="22"/>
        </w:rPr>
      </w:pPr>
      <w:r w:rsidRPr="00045CAB">
        <w:rPr>
          <w:b/>
        </w:rPr>
        <w:t>JACKSONVILLE, Fla.,</w:t>
      </w:r>
      <w:r w:rsidRPr="00045CAB">
        <w:rPr>
          <w:rFonts w:cs="Calibri"/>
          <w:b/>
          <w:szCs w:val="22"/>
        </w:rPr>
        <w:t xml:space="preserve"> September </w:t>
      </w:r>
      <w:r>
        <w:rPr>
          <w:rFonts w:cs="Calibri"/>
          <w:b/>
          <w:szCs w:val="22"/>
        </w:rPr>
        <w:t>12</w:t>
      </w:r>
      <w:r w:rsidRPr="00045CAB">
        <w:rPr>
          <w:rFonts w:cs="Calibri"/>
          <w:b/>
          <w:szCs w:val="22"/>
        </w:rPr>
        <w:t>, 2013</w:t>
      </w:r>
      <w:r>
        <w:rPr>
          <w:rFonts w:cs="Calibri"/>
          <w:szCs w:val="22"/>
        </w:rPr>
        <w:t xml:space="preserve"> - Bi-Lo Holdings</w:t>
      </w:r>
      <w:r w:rsidRPr="00E7690F">
        <w:rPr>
          <w:rFonts w:cs="Calibri"/>
          <w:szCs w:val="22"/>
        </w:rPr>
        <w:t>, LLC (“</w:t>
      </w:r>
      <w:r>
        <w:rPr>
          <w:rFonts w:cs="Calibri"/>
          <w:szCs w:val="22"/>
        </w:rPr>
        <w:t>Bi-Lo Holdings</w:t>
      </w:r>
      <w:r w:rsidRPr="00E7690F">
        <w:rPr>
          <w:rFonts w:cs="Calibri"/>
          <w:szCs w:val="22"/>
        </w:rPr>
        <w:t>”)</w:t>
      </w:r>
      <w:r>
        <w:rPr>
          <w:rFonts w:cs="Calibri"/>
          <w:szCs w:val="22"/>
        </w:rPr>
        <w:t>,</w:t>
      </w:r>
      <w:r w:rsidRPr="00712671">
        <w:t xml:space="preserve"> </w:t>
      </w:r>
      <w:r w:rsidRPr="003B237B">
        <w:t xml:space="preserve">parent company of </w:t>
      </w:r>
      <w:r>
        <w:t xml:space="preserve">the </w:t>
      </w:r>
      <w:r w:rsidRPr="003B237B">
        <w:t>BI-LO and Winn-Dixie grocery store</w:t>
      </w:r>
      <w:r>
        <w:t xml:space="preserve"> chains,</w:t>
      </w:r>
      <w:r w:rsidRPr="00E7690F">
        <w:rPr>
          <w:rFonts w:cs="Calibri"/>
          <w:szCs w:val="22"/>
        </w:rPr>
        <w:t xml:space="preserve"> today announced that </w:t>
      </w:r>
      <w:r>
        <w:rPr>
          <w:rFonts w:cs="Calibri"/>
          <w:szCs w:val="22"/>
        </w:rPr>
        <w:t>it has</w:t>
      </w:r>
      <w:r w:rsidRPr="00E7690F">
        <w:rPr>
          <w:rFonts w:cs="Calibri"/>
          <w:szCs w:val="22"/>
        </w:rPr>
        <w:t xml:space="preserve"> entered into a definitive agreement </w:t>
      </w:r>
      <w:r>
        <w:rPr>
          <w:rFonts w:cs="Calibri"/>
          <w:szCs w:val="22"/>
        </w:rPr>
        <w:t>with</w:t>
      </w:r>
      <w:r w:rsidRPr="00741C4A">
        <w:rPr>
          <w:rFonts w:cs="Calibri"/>
          <w:szCs w:val="22"/>
        </w:rPr>
        <w:t xml:space="preserve"> Piggly Wiggly Carolina Company, Inc. </w:t>
      </w:r>
      <w:r>
        <w:rPr>
          <w:rFonts w:cs="Calibri"/>
          <w:szCs w:val="22"/>
        </w:rPr>
        <w:t>(“</w:t>
      </w:r>
      <w:r w:rsidRPr="00741C4A">
        <w:rPr>
          <w:rFonts w:cs="Calibri"/>
          <w:szCs w:val="22"/>
        </w:rPr>
        <w:t>Piggly Wiggly Carolina</w:t>
      </w:r>
      <w:r>
        <w:rPr>
          <w:rFonts w:cs="Calibri"/>
          <w:szCs w:val="22"/>
        </w:rPr>
        <w:t xml:space="preserve"> Company”) to acquire </w:t>
      </w:r>
      <w:r w:rsidRPr="00741C4A">
        <w:rPr>
          <w:rFonts w:cs="Calibri"/>
          <w:szCs w:val="22"/>
        </w:rPr>
        <w:t>2</w:t>
      </w:r>
      <w:r>
        <w:rPr>
          <w:rFonts w:cs="Calibri"/>
          <w:szCs w:val="22"/>
        </w:rPr>
        <w:t>2</w:t>
      </w:r>
      <w:r w:rsidRPr="00741C4A">
        <w:rPr>
          <w:rFonts w:cs="Calibri"/>
          <w:szCs w:val="22"/>
        </w:rPr>
        <w:t xml:space="preserve"> Piggly Wiggly </w:t>
      </w:r>
      <w:r>
        <w:rPr>
          <w:rFonts w:cs="Calibri"/>
          <w:szCs w:val="22"/>
        </w:rPr>
        <w:t xml:space="preserve">stores with approximately 1,200 store employees </w:t>
      </w:r>
      <w:r w:rsidRPr="0063795E">
        <w:rPr>
          <w:rFonts w:cs="Calibri"/>
          <w:szCs w:val="22"/>
        </w:rPr>
        <w:t xml:space="preserve">in </w:t>
      </w:r>
      <w:r>
        <w:rPr>
          <w:rFonts w:cs="Calibri"/>
          <w:szCs w:val="22"/>
        </w:rPr>
        <w:t>South Carolina and c</w:t>
      </w:r>
      <w:r w:rsidRPr="005303C2">
        <w:rPr>
          <w:rFonts w:cs="Calibri"/>
          <w:szCs w:val="22"/>
        </w:rPr>
        <w:t>oastal Georgia</w:t>
      </w:r>
      <w:r w:rsidRPr="0063795E">
        <w:rPr>
          <w:rFonts w:cs="Calibri"/>
          <w:szCs w:val="22"/>
        </w:rPr>
        <w:t xml:space="preserve">. </w:t>
      </w:r>
      <w:r>
        <w:rPr>
          <w:rFonts w:cs="Calibri"/>
          <w:szCs w:val="22"/>
        </w:rPr>
        <w:t xml:space="preserve"> </w:t>
      </w:r>
      <w:r w:rsidRPr="0063795E">
        <w:rPr>
          <w:rFonts w:cs="Calibri"/>
          <w:szCs w:val="22"/>
        </w:rPr>
        <w:t>Financial</w:t>
      </w:r>
      <w:r w:rsidRPr="00672B99">
        <w:rPr>
          <w:rFonts w:cs="Calibri"/>
          <w:szCs w:val="22"/>
        </w:rPr>
        <w:t xml:space="preserve"> terms </w:t>
      </w:r>
      <w:r>
        <w:rPr>
          <w:rFonts w:cs="Calibri"/>
          <w:szCs w:val="22"/>
        </w:rPr>
        <w:t xml:space="preserve">of the transactions </w:t>
      </w:r>
      <w:r w:rsidRPr="00672B99">
        <w:rPr>
          <w:rFonts w:cs="Calibri"/>
          <w:szCs w:val="22"/>
        </w:rPr>
        <w:t>were not disclosed</w:t>
      </w:r>
      <w:r>
        <w:rPr>
          <w:rFonts w:cs="Calibri"/>
          <w:szCs w:val="22"/>
        </w:rPr>
        <w:t>.</w:t>
      </w:r>
    </w:p>
    <w:p w:rsidR="005E6FDD" w:rsidRDefault="005E6FDD" w:rsidP="005E6FDD">
      <w:pPr>
        <w:spacing w:line="276" w:lineRule="auto"/>
        <w:rPr>
          <w:rFonts w:cs="Calibri"/>
          <w:szCs w:val="22"/>
        </w:rPr>
      </w:pPr>
    </w:p>
    <w:p w:rsidR="005E6FDD" w:rsidRPr="00031B89" w:rsidRDefault="005E6FDD" w:rsidP="005E6FDD">
      <w:pPr>
        <w:spacing w:line="276" w:lineRule="auto"/>
        <w:rPr>
          <w:rFonts w:cs="Calibri"/>
          <w:szCs w:val="22"/>
        </w:rPr>
      </w:pPr>
      <w:r>
        <w:rPr>
          <w:rFonts w:cs="Calibri"/>
          <w:szCs w:val="22"/>
        </w:rPr>
        <w:t>“</w:t>
      </w:r>
      <w:r w:rsidRPr="00353068">
        <w:rPr>
          <w:rFonts w:cs="Calibri"/>
          <w:szCs w:val="22"/>
        </w:rPr>
        <w:t>We look forward to welcoming the</w:t>
      </w:r>
      <w:r>
        <w:rPr>
          <w:rFonts w:cs="Calibri"/>
          <w:szCs w:val="22"/>
        </w:rPr>
        <w:t>se</w:t>
      </w:r>
      <w:r w:rsidRPr="00353068">
        <w:rPr>
          <w:rFonts w:cs="Calibri"/>
          <w:szCs w:val="22"/>
        </w:rPr>
        <w:t xml:space="preserve"> </w:t>
      </w:r>
      <w:r>
        <w:rPr>
          <w:rFonts w:cs="Calibri"/>
          <w:szCs w:val="22"/>
        </w:rPr>
        <w:t xml:space="preserve">new associates </w:t>
      </w:r>
      <w:r w:rsidRPr="00353068">
        <w:rPr>
          <w:rFonts w:cs="Calibri"/>
          <w:szCs w:val="22"/>
        </w:rPr>
        <w:t xml:space="preserve">to the </w:t>
      </w:r>
      <w:r>
        <w:rPr>
          <w:rFonts w:eastAsia="Times New Roman"/>
        </w:rPr>
        <w:t>Bi-Lo Holdings</w:t>
      </w:r>
      <w:r w:rsidDel="00B4355C">
        <w:rPr>
          <w:rFonts w:cs="Calibri"/>
          <w:szCs w:val="22"/>
        </w:rPr>
        <w:t xml:space="preserve"> </w:t>
      </w:r>
      <w:r w:rsidRPr="00353068">
        <w:rPr>
          <w:rFonts w:cs="Calibri"/>
          <w:szCs w:val="22"/>
        </w:rPr>
        <w:t>family</w:t>
      </w:r>
      <w:r>
        <w:rPr>
          <w:rFonts w:cs="Calibri"/>
          <w:szCs w:val="22"/>
        </w:rPr>
        <w:t xml:space="preserve"> and to building on the strength of these stores</w:t>
      </w:r>
      <w:r w:rsidRPr="00353068">
        <w:rPr>
          <w:rFonts w:cs="Calibri"/>
          <w:szCs w:val="22"/>
        </w:rPr>
        <w:t xml:space="preserve">,” said </w:t>
      </w:r>
      <w:r>
        <w:rPr>
          <w:rFonts w:cs="Calibri"/>
          <w:szCs w:val="22"/>
        </w:rPr>
        <w:t>Randall Onstead</w:t>
      </w:r>
      <w:r w:rsidRPr="00353068">
        <w:rPr>
          <w:rFonts w:cs="Calibri"/>
          <w:szCs w:val="22"/>
        </w:rPr>
        <w:t xml:space="preserve">, </w:t>
      </w:r>
      <w:r>
        <w:rPr>
          <w:rFonts w:cs="Calibri"/>
          <w:szCs w:val="22"/>
        </w:rPr>
        <w:t>president and CEO of Bi-Lo Holdings</w:t>
      </w:r>
      <w:r w:rsidRPr="00353068">
        <w:rPr>
          <w:rFonts w:cs="Calibri"/>
          <w:szCs w:val="22"/>
        </w:rPr>
        <w:t>.</w:t>
      </w:r>
      <w:r>
        <w:rPr>
          <w:rFonts w:cs="Calibri"/>
          <w:szCs w:val="22"/>
        </w:rPr>
        <w:t xml:space="preserve"> “</w:t>
      </w:r>
      <w:r w:rsidRPr="00031B89">
        <w:rPr>
          <w:rFonts w:cs="Calibri"/>
          <w:szCs w:val="22"/>
        </w:rPr>
        <w:t xml:space="preserve">We will continue to fine-tune our company and network of stores so that we can reinvest in what matters most for our customers … the freshest foods, </w:t>
      </w:r>
      <w:r>
        <w:rPr>
          <w:rFonts w:cs="Calibri"/>
          <w:szCs w:val="22"/>
        </w:rPr>
        <w:t xml:space="preserve">the </w:t>
      </w:r>
      <w:r w:rsidRPr="00031B89">
        <w:rPr>
          <w:rFonts w:cs="Calibri"/>
          <w:szCs w:val="22"/>
        </w:rPr>
        <w:t>best deals and really connecting to their neighborhoods.</w:t>
      </w:r>
      <w:r>
        <w:rPr>
          <w:rFonts w:cs="Calibri"/>
          <w:szCs w:val="22"/>
        </w:rPr>
        <w:t>”</w:t>
      </w:r>
    </w:p>
    <w:p w:rsidR="005E6FDD" w:rsidRDefault="005E6FDD" w:rsidP="005E6FDD">
      <w:pPr>
        <w:spacing w:line="276" w:lineRule="auto"/>
        <w:rPr>
          <w:rFonts w:cs="Calibri"/>
          <w:szCs w:val="22"/>
        </w:rPr>
      </w:pPr>
    </w:p>
    <w:p w:rsidR="005E6FDD" w:rsidRDefault="005E6FDD" w:rsidP="005E6FDD">
      <w:pPr>
        <w:spacing w:line="276" w:lineRule="auto"/>
        <w:rPr>
          <w:rFonts w:cs="Calibri"/>
          <w:szCs w:val="22"/>
        </w:rPr>
      </w:pPr>
      <w:r w:rsidRPr="004C1F4B">
        <w:rPr>
          <w:rFonts w:cs="Calibri"/>
          <w:szCs w:val="22"/>
        </w:rPr>
        <w:t xml:space="preserve">“The departure of employees and stores from the Piggly Wiggly team will be acutely felt, but we know that Bi-Lo Holdings will benefit from these outstanding folks,” said David Schools, president and CEO of Piggly Wiggly Carolina Company.  “We are glad that employees will have the opportunity to work for Bi-Lo Holdings, and guests will continue to be served by the familiar people who have been the backbone of these stores for years.” </w:t>
      </w:r>
    </w:p>
    <w:p w:rsidR="002C126F" w:rsidRDefault="002C126F"/>
    <w:p w:rsidR="005E6FDD" w:rsidRDefault="005E6FDD" w:rsidP="005E6FDD">
      <w:pPr>
        <w:spacing w:line="276" w:lineRule="auto"/>
        <w:rPr>
          <w:rFonts w:cs="Calibri"/>
          <w:szCs w:val="22"/>
        </w:rPr>
      </w:pPr>
      <w:r w:rsidRPr="002A385D">
        <w:rPr>
          <w:rFonts w:cs="Calibri"/>
          <w:szCs w:val="22"/>
        </w:rPr>
        <w:t xml:space="preserve">The Piggly Wiggly stores that </w:t>
      </w:r>
      <w:r>
        <w:rPr>
          <w:rFonts w:cs="Calibri"/>
          <w:szCs w:val="22"/>
        </w:rPr>
        <w:t>Bi-Lo Holdings</w:t>
      </w:r>
      <w:r w:rsidRPr="002A385D">
        <w:rPr>
          <w:rFonts w:cs="Calibri"/>
          <w:szCs w:val="22"/>
        </w:rPr>
        <w:t xml:space="preserve"> will acquire include </w:t>
      </w:r>
      <w:r>
        <w:rPr>
          <w:rFonts w:cs="Calibri"/>
          <w:szCs w:val="22"/>
        </w:rPr>
        <w:t>16 in South Carolina and six in Georgia:</w:t>
      </w:r>
    </w:p>
    <w:p w:rsidR="005E6FDD" w:rsidRDefault="005E6FDD" w:rsidP="005E6FDD">
      <w:pPr>
        <w:pStyle w:val="ListParagraph"/>
        <w:numPr>
          <w:ilvl w:val="0"/>
          <w:numId w:val="1"/>
        </w:numPr>
        <w:spacing w:line="276" w:lineRule="auto"/>
        <w:rPr>
          <w:rFonts w:cs="Calibri"/>
          <w:szCs w:val="22"/>
        </w:rPr>
        <w:sectPr w:rsidR="005E6FDD" w:rsidSect="002C13DB">
          <w:headerReference w:type="first" r:id="rId8"/>
          <w:footerReference w:type="first" r:id="rId9"/>
          <w:pgSz w:w="12240" w:h="15840"/>
          <w:pgMar w:top="1440" w:right="1440" w:bottom="1440" w:left="1440" w:header="720" w:footer="720" w:gutter="0"/>
          <w:cols w:space="720"/>
          <w:titlePg/>
          <w:docGrid w:linePitch="360"/>
        </w:sectPr>
      </w:pP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lastRenderedPageBreak/>
        <w:t>3386 Railroad Avenue, Bamberg,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50 Burnt Church Road, Bluffton,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445 Meeting Street, Charleston,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630 Skylark Drive, Charleston,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136 South Main Street, Clover,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4711-1 Forest Drive, Columbia,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104 Jungle Road, Edisto Beach,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3353 Highway 72/221 East, Greenwood,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3575 Maybank Highway, Johns Island,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9616 Highway 78, Ladson,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760 Highway 378, Lexington, S.C.</w:t>
      </w:r>
    </w:p>
    <w:p w:rsidR="005E6FDD" w:rsidRDefault="005E6FDD" w:rsidP="005E6FDD">
      <w:pPr>
        <w:pStyle w:val="ListParagraph"/>
        <w:spacing w:line="276" w:lineRule="auto"/>
        <w:ind w:left="360"/>
        <w:rPr>
          <w:rFonts w:cs="Calibri"/>
          <w:szCs w:val="22"/>
        </w:rPr>
      </w:pP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lastRenderedPageBreak/>
        <w:t>4360 Augusta Road, Lexington,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208 East McIntyre Street, Mullins, S.C.</w:t>
      </w:r>
    </w:p>
    <w:p w:rsidR="005E6FDD" w:rsidRPr="002A385D" w:rsidRDefault="005E6FDD" w:rsidP="005E6FDD">
      <w:pPr>
        <w:pStyle w:val="ListParagraph"/>
        <w:numPr>
          <w:ilvl w:val="0"/>
          <w:numId w:val="1"/>
        </w:numPr>
        <w:tabs>
          <w:tab w:val="left" w:pos="0"/>
        </w:tabs>
        <w:spacing w:line="276" w:lineRule="auto"/>
        <w:rPr>
          <w:rFonts w:cs="Calibri"/>
          <w:szCs w:val="22"/>
        </w:rPr>
      </w:pPr>
      <w:r w:rsidRPr="002A385D">
        <w:rPr>
          <w:rFonts w:cs="Calibri"/>
          <w:szCs w:val="22"/>
        </w:rPr>
        <w:t>115 Willbrook Boulevard, Pawleys Island,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518 North Wheeler Avenue, Prosperity,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615 Harry C Raysor Drive South, St Matthews, S.C.</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1338 North Way, Darien, Ga.</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4415 Augusta Street, Garden City, Ga.</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312 South Main Street, Glennville, Ga.</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1042 US Highway 80 West, Pooler, Ga.</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2142 East Victory Drive, Savannah, Ga.</w:t>
      </w:r>
    </w:p>
    <w:p w:rsidR="005E6FDD" w:rsidRPr="002A385D" w:rsidRDefault="005E6FDD" w:rsidP="005E6FDD">
      <w:pPr>
        <w:pStyle w:val="ListParagraph"/>
        <w:numPr>
          <w:ilvl w:val="0"/>
          <w:numId w:val="1"/>
        </w:numPr>
        <w:spacing w:line="276" w:lineRule="auto"/>
        <w:rPr>
          <w:rFonts w:cs="Calibri"/>
          <w:szCs w:val="22"/>
        </w:rPr>
      </w:pPr>
      <w:r w:rsidRPr="002A385D">
        <w:rPr>
          <w:rFonts w:cs="Calibri"/>
          <w:szCs w:val="22"/>
        </w:rPr>
        <w:t>7360 Skidaway Road, Savannah, Ga.</w:t>
      </w:r>
    </w:p>
    <w:p w:rsidR="005E6FDD" w:rsidRDefault="005E6FDD">
      <w:pPr>
        <w:sectPr w:rsidR="005E6FDD" w:rsidSect="005E6FDD">
          <w:type w:val="continuous"/>
          <w:pgSz w:w="12240" w:h="15840"/>
          <w:pgMar w:top="1440" w:right="990" w:bottom="1440" w:left="1440" w:header="720" w:footer="720" w:gutter="0"/>
          <w:cols w:num="2" w:space="90"/>
          <w:titlePg/>
          <w:docGrid w:linePitch="360"/>
        </w:sectPr>
      </w:pPr>
    </w:p>
    <w:p w:rsidR="005E6FDD" w:rsidRDefault="005E6FDD" w:rsidP="005E6FDD">
      <w:pPr>
        <w:spacing w:line="276" w:lineRule="auto"/>
        <w:jc w:val="center"/>
        <w:rPr>
          <w:rFonts w:cs="Calibri"/>
          <w:szCs w:val="22"/>
        </w:rPr>
      </w:pPr>
      <w:r>
        <w:rPr>
          <w:rFonts w:cs="Calibri"/>
          <w:szCs w:val="22"/>
        </w:rPr>
        <w:lastRenderedPageBreak/>
        <w:t>– m</w:t>
      </w:r>
      <w:r w:rsidRPr="00BF4956">
        <w:rPr>
          <w:rFonts w:cs="Calibri"/>
          <w:szCs w:val="22"/>
        </w:rPr>
        <w:t xml:space="preserve">ore </w:t>
      </w:r>
      <w:r>
        <w:rPr>
          <w:rFonts w:cs="Calibri"/>
          <w:szCs w:val="22"/>
        </w:rPr>
        <w:t>–</w:t>
      </w:r>
    </w:p>
    <w:p w:rsidR="005E6FDD" w:rsidRDefault="005E6FDD"/>
    <w:p w:rsidR="005E6FDD" w:rsidRDefault="005E6FDD" w:rsidP="005E6FDD">
      <w:pPr>
        <w:spacing w:line="276" w:lineRule="auto"/>
        <w:rPr>
          <w:rFonts w:cs="Calibri"/>
          <w:szCs w:val="22"/>
        </w:rPr>
      </w:pPr>
      <w:r w:rsidRPr="00124BF5">
        <w:rPr>
          <w:rFonts w:cs="Calibri"/>
          <w:szCs w:val="22"/>
        </w:rPr>
        <w:lastRenderedPageBreak/>
        <w:t xml:space="preserve">The transaction is </w:t>
      </w:r>
      <w:r>
        <w:rPr>
          <w:rFonts w:cs="Calibri"/>
          <w:szCs w:val="22"/>
        </w:rPr>
        <w:t xml:space="preserve">expected </w:t>
      </w:r>
      <w:r w:rsidRPr="00124BF5">
        <w:rPr>
          <w:rFonts w:cs="Calibri"/>
          <w:szCs w:val="22"/>
        </w:rPr>
        <w:t>to close in the fourth quarter</w:t>
      </w:r>
      <w:r>
        <w:rPr>
          <w:rFonts w:cs="Calibri"/>
          <w:szCs w:val="22"/>
        </w:rPr>
        <w:t xml:space="preserve"> </w:t>
      </w:r>
      <w:r w:rsidRPr="00124BF5">
        <w:rPr>
          <w:rFonts w:cs="Calibri"/>
          <w:szCs w:val="22"/>
        </w:rPr>
        <w:t xml:space="preserve">of 2013 and is </w:t>
      </w:r>
      <w:r w:rsidRPr="00E7690F">
        <w:rPr>
          <w:rFonts w:cs="Calibri"/>
          <w:szCs w:val="22"/>
        </w:rPr>
        <w:t xml:space="preserve">subject to </w:t>
      </w:r>
      <w:r>
        <w:rPr>
          <w:rFonts w:cs="Calibri"/>
          <w:szCs w:val="22"/>
        </w:rPr>
        <w:t xml:space="preserve">the satisfaction of </w:t>
      </w:r>
      <w:r w:rsidRPr="00E7690F">
        <w:rPr>
          <w:rFonts w:cs="Calibri"/>
          <w:szCs w:val="22"/>
        </w:rPr>
        <w:t>customary closing conditions</w:t>
      </w:r>
      <w:r>
        <w:rPr>
          <w:rFonts w:cs="Calibri"/>
          <w:szCs w:val="22"/>
        </w:rPr>
        <w:t xml:space="preserve">.  Upon completion of the transaction, </w:t>
      </w:r>
      <w:r w:rsidRPr="00424C43">
        <w:rPr>
          <w:rFonts w:cs="Calibri"/>
          <w:szCs w:val="22"/>
        </w:rPr>
        <w:t xml:space="preserve">the </w:t>
      </w:r>
      <w:r>
        <w:rPr>
          <w:rFonts w:cs="Calibri"/>
          <w:szCs w:val="22"/>
        </w:rPr>
        <w:t xml:space="preserve">acquired </w:t>
      </w:r>
      <w:r w:rsidRPr="00424C43">
        <w:rPr>
          <w:rFonts w:cs="Calibri"/>
          <w:szCs w:val="22"/>
        </w:rPr>
        <w:t xml:space="preserve">stores </w:t>
      </w:r>
      <w:r>
        <w:rPr>
          <w:rFonts w:cs="Calibri"/>
          <w:szCs w:val="22"/>
        </w:rPr>
        <w:t xml:space="preserve">will be rebranded under the </w:t>
      </w:r>
      <w:r w:rsidRPr="00424C43">
        <w:rPr>
          <w:rFonts w:cs="Calibri"/>
          <w:szCs w:val="22"/>
        </w:rPr>
        <w:t xml:space="preserve">BI-LO </w:t>
      </w:r>
      <w:r>
        <w:rPr>
          <w:rFonts w:cs="Calibri"/>
          <w:szCs w:val="22"/>
        </w:rPr>
        <w:t>banner name</w:t>
      </w:r>
      <w:r w:rsidRPr="00424C43">
        <w:rPr>
          <w:rFonts w:cs="Calibri"/>
          <w:szCs w:val="22"/>
        </w:rPr>
        <w:t>.</w:t>
      </w:r>
    </w:p>
    <w:p w:rsidR="005E6FDD" w:rsidRDefault="005E6FDD" w:rsidP="005E6FDD">
      <w:pPr>
        <w:spacing w:line="276" w:lineRule="auto"/>
        <w:rPr>
          <w:rFonts w:cs="Calibri"/>
          <w:szCs w:val="22"/>
        </w:rPr>
      </w:pPr>
    </w:p>
    <w:p w:rsidR="005E6FDD" w:rsidRDefault="005E6FDD" w:rsidP="005E6FDD">
      <w:pPr>
        <w:spacing w:line="276" w:lineRule="auto"/>
        <w:rPr>
          <w:rFonts w:cs="Calibri"/>
          <w:szCs w:val="22"/>
        </w:rPr>
      </w:pPr>
      <w:r w:rsidRPr="003200B4">
        <w:rPr>
          <w:rFonts w:cs="Calibri"/>
          <w:szCs w:val="22"/>
        </w:rPr>
        <w:t xml:space="preserve">King &amp; Spalding LLP </w:t>
      </w:r>
      <w:r>
        <w:rPr>
          <w:rFonts w:cs="Calibri"/>
          <w:szCs w:val="22"/>
        </w:rPr>
        <w:t>is acting</w:t>
      </w:r>
      <w:r w:rsidRPr="008F15D5">
        <w:rPr>
          <w:rFonts w:cs="Calibri"/>
          <w:szCs w:val="22"/>
        </w:rPr>
        <w:t xml:space="preserve"> as legal </w:t>
      </w:r>
      <w:r>
        <w:rPr>
          <w:rFonts w:cs="Calibri"/>
          <w:szCs w:val="22"/>
        </w:rPr>
        <w:t xml:space="preserve">advisor to Bi-Lo Holdings.  </w:t>
      </w:r>
      <w:r w:rsidRPr="004C1F4B">
        <w:rPr>
          <w:rFonts w:cs="Calibri"/>
          <w:szCs w:val="22"/>
        </w:rPr>
        <w:t>Surry Investment Advisors, LLC acted as financial advisor to Piggly Wiggly Carolina Company and Moore &amp; Van Allen, PLLC is acting as legal advisor.</w:t>
      </w:r>
      <w:r>
        <w:rPr>
          <w:rFonts w:cs="Calibri"/>
          <w:szCs w:val="22"/>
        </w:rPr>
        <w:t xml:space="preserve"> </w:t>
      </w:r>
    </w:p>
    <w:p w:rsidR="005E6FDD" w:rsidRDefault="005E6FDD" w:rsidP="005E6FDD">
      <w:pPr>
        <w:spacing w:line="276" w:lineRule="auto"/>
        <w:rPr>
          <w:rFonts w:cs="Calibri"/>
          <w:b/>
          <w:szCs w:val="22"/>
        </w:rPr>
      </w:pPr>
    </w:p>
    <w:p w:rsidR="005E6FDD" w:rsidRPr="00125A74" w:rsidRDefault="005E6FDD" w:rsidP="005E6FDD">
      <w:pPr>
        <w:spacing w:line="276" w:lineRule="auto"/>
        <w:rPr>
          <w:rFonts w:cs="Calibri"/>
          <w:b/>
          <w:szCs w:val="22"/>
        </w:rPr>
      </w:pPr>
      <w:bookmarkStart w:id="0" w:name="OLE_LINK1"/>
      <w:bookmarkStart w:id="1" w:name="OLE_LINK2"/>
      <w:r w:rsidRPr="00125A74">
        <w:rPr>
          <w:rFonts w:cs="Calibri"/>
          <w:b/>
          <w:szCs w:val="22"/>
        </w:rPr>
        <w:t>About Bi-Lo Holdings</w:t>
      </w:r>
    </w:p>
    <w:p w:rsidR="005E6FDD" w:rsidRDefault="005E6FDD" w:rsidP="005E6FDD">
      <w:pPr>
        <w:rPr>
          <w:rFonts w:ascii="Times New Roman" w:eastAsia="Times New Roman" w:hAnsi="Times New Roman"/>
          <w:sz w:val="20"/>
          <w:szCs w:val="22"/>
        </w:rPr>
      </w:pPr>
      <w:r w:rsidRPr="00BF4956">
        <w:rPr>
          <w:rFonts w:cs="Calibri"/>
          <w:sz w:val="20"/>
          <w:szCs w:val="22"/>
        </w:rPr>
        <w:t>Bi-Lo Holdings</w:t>
      </w:r>
      <w:r w:rsidRPr="00BF4956">
        <w:rPr>
          <w:rFonts w:ascii="Calibri" w:eastAsia="Times New Roman" w:hAnsi="Calibri" w:cs="Calibri"/>
          <w:color w:val="000000"/>
          <w:sz w:val="20"/>
          <w:szCs w:val="22"/>
        </w:rPr>
        <w:t>, LLC, the parent company of BI-LO and Winn-Dixie grocery stores, is the ninth-largest conventional supermarket chain in the United States based on net sales. The company employs nearly 60,000 associates who serve customers in 686 grocery stores and 482 in-store pharmacies throughout the eight southeastern states of Alabama, Florida, Georgia, Louisiana, Mississippi, North Carolina, South Carolina and Tennessee. BI-LO and Winn-Dixie are well-known and well-respected regional brands with deep heritages, strong neighborhood ties, proud histories of giving back, talented and loyal associates, and strong commitments to providing the best possible quality and value to customers. For more information, please visit </w:t>
      </w:r>
      <w:r w:rsidRPr="00BF4956">
        <w:rPr>
          <w:rFonts w:ascii="Calibri" w:eastAsia="Times New Roman" w:hAnsi="Calibri" w:cs="Calibri"/>
          <w:color w:val="0000FF"/>
          <w:sz w:val="20"/>
          <w:szCs w:val="22"/>
          <w:u w:val="single"/>
        </w:rPr>
        <w:t>www.bi-lo.com</w:t>
      </w:r>
      <w:r w:rsidRPr="00BF4956">
        <w:rPr>
          <w:rFonts w:ascii="Calibri" w:eastAsia="Times New Roman" w:hAnsi="Calibri" w:cs="Calibri"/>
          <w:color w:val="000000"/>
          <w:sz w:val="20"/>
          <w:szCs w:val="22"/>
        </w:rPr>
        <w:t> and </w:t>
      </w:r>
      <w:hyperlink r:id="rId10" w:history="1">
        <w:r w:rsidRPr="00C459A5">
          <w:rPr>
            <w:rStyle w:val="Hyperlink"/>
            <w:rFonts w:ascii="Calibri" w:eastAsia="Times New Roman" w:hAnsi="Calibri" w:cs="Calibri"/>
            <w:sz w:val="20"/>
            <w:szCs w:val="22"/>
          </w:rPr>
          <w:t>www.winn-dixie.com</w:t>
        </w:r>
      </w:hyperlink>
      <w:r w:rsidRPr="00BF4956">
        <w:rPr>
          <w:rFonts w:ascii="Calibri" w:eastAsia="Times New Roman" w:hAnsi="Calibri" w:cs="Calibri"/>
          <w:color w:val="000000"/>
          <w:sz w:val="20"/>
          <w:szCs w:val="22"/>
        </w:rPr>
        <w:t>.</w:t>
      </w:r>
      <w:bookmarkEnd w:id="0"/>
      <w:bookmarkEnd w:id="1"/>
    </w:p>
    <w:p w:rsidR="005E6FDD" w:rsidRDefault="005E6FDD" w:rsidP="005E6FDD">
      <w:pPr>
        <w:spacing w:line="276" w:lineRule="auto"/>
        <w:rPr>
          <w:rFonts w:cs="Calibri"/>
          <w:szCs w:val="22"/>
          <w:u w:val="single"/>
        </w:rPr>
      </w:pPr>
    </w:p>
    <w:p w:rsidR="005E6FDD" w:rsidRDefault="005E6FDD" w:rsidP="005E6FDD">
      <w:pPr>
        <w:spacing w:line="276" w:lineRule="auto"/>
        <w:rPr>
          <w:rFonts w:cs="Calibri"/>
          <w:b/>
          <w:szCs w:val="22"/>
        </w:rPr>
      </w:pPr>
      <w:r>
        <w:rPr>
          <w:rFonts w:cs="Calibri"/>
          <w:b/>
          <w:szCs w:val="22"/>
        </w:rPr>
        <w:t xml:space="preserve">About </w:t>
      </w:r>
      <w:r w:rsidRPr="00C25D78">
        <w:rPr>
          <w:rFonts w:cs="Calibri"/>
          <w:b/>
          <w:szCs w:val="22"/>
        </w:rPr>
        <w:t>Piggly Wiggly Carolina</w:t>
      </w:r>
    </w:p>
    <w:p w:rsidR="005E6FDD" w:rsidRPr="005E6FDD" w:rsidRDefault="005E6FDD" w:rsidP="005E6FDD">
      <w:pPr>
        <w:rPr>
          <w:rFonts w:ascii="Times New Roman" w:eastAsia="Times New Roman" w:hAnsi="Times New Roman"/>
          <w:sz w:val="20"/>
          <w:szCs w:val="22"/>
        </w:rPr>
      </w:pPr>
      <w:r w:rsidRPr="00BF4956">
        <w:rPr>
          <w:rFonts w:cs="Calibri"/>
          <w:sz w:val="20"/>
          <w:szCs w:val="22"/>
        </w:rPr>
        <w:t xml:space="preserve">Founded in Charleston in 1947, Piggly Wiggly Carolina Company has more than 3,000 employee-owners across South Carolina and coastal Georgia. The company was named the 2012 Independent Retailer of the Year by </w:t>
      </w:r>
      <w:r w:rsidRPr="00BF4956">
        <w:rPr>
          <w:rFonts w:cs="Calibri"/>
          <w:i/>
          <w:sz w:val="20"/>
          <w:szCs w:val="22"/>
        </w:rPr>
        <w:t>Progressive Grocer</w:t>
      </w:r>
      <w:r w:rsidRPr="00BF4956">
        <w:rPr>
          <w:rFonts w:cs="Calibri"/>
          <w:sz w:val="20"/>
          <w:szCs w:val="22"/>
        </w:rPr>
        <w:t xml:space="preserve"> magazine.  For more information, please visit www.thepig.net.</w:t>
      </w:r>
    </w:p>
    <w:p w:rsidR="005E6FDD" w:rsidRDefault="005E6FDD" w:rsidP="005E6FDD">
      <w:pPr>
        <w:spacing w:line="276" w:lineRule="auto"/>
        <w:rPr>
          <w:rFonts w:cs="Calibri"/>
          <w:b/>
          <w:szCs w:val="22"/>
        </w:rPr>
      </w:pPr>
    </w:p>
    <w:p w:rsidR="005E6FDD" w:rsidRPr="00125A74" w:rsidRDefault="005E6FDD" w:rsidP="005E6FDD">
      <w:pPr>
        <w:spacing w:line="276" w:lineRule="auto"/>
        <w:rPr>
          <w:rFonts w:cs="Calibri"/>
          <w:b/>
          <w:szCs w:val="22"/>
        </w:rPr>
      </w:pPr>
      <w:r w:rsidRPr="00125A74">
        <w:rPr>
          <w:rFonts w:cs="Calibri"/>
          <w:b/>
          <w:szCs w:val="22"/>
        </w:rPr>
        <w:t>Forward-Looking Statements</w:t>
      </w:r>
    </w:p>
    <w:p w:rsidR="005E6FDD" w:rsidRPr="009A4F02" w:rsidRDefault="005E6FDD" w:rsidP="005E6FDD">
      <w:pPr>
        <w:rPr>
          <w:rFonts w:cs="Calibri"/>
          <w:i/>
          <w:sz w:val="20"/>
          <w:szCs w:val="22"/>
        </w:rPr>
      </w:pPr>
      <w:r w:rsidRPr="009A4F02">
        <w:rPr>
          <w:rFonts w:cs="Calibri"/>
          <w:i/>
          <w:sz w:val="20"/>
          <w:szCs w:val="22"/>
        </w:rPr>
        <w:t xml:space="preserve">This press release includes forward-looking statements about future events, which involve risks and uncertainties. Generally, the words “believe,” “expect,” “intend,” “estimate,” “anticipate,” “project,” “will,” “could,” “may,” “plan,” “potential,” “likely,” “goal,” “target,” “objective,” “outlook,” “seek” and similar expressions identify forward-looking statements, which generally are not historical in nature. </w:t>
      </w:r>
    </w:p>
    <w:p w:rsidR="005E6FDD" w:rsidRPr="009A4F02" w:rsidRDefault="005E6FDD" w:rsidP="005E6FDD">
      <w:pPr>
        <w:rPr>
          <w:rFonts w:cs="Calibri"/>
          <w:i/>
          <w:sz w:val="20"/>
          <w:szCs w:val="22"/>
        </w:rPr>
      </w:pPr>
      <w:r w:rsidRPr="009A4F02">
        <w:rPr>
          <w:rFonts w:cs="Calibri"/>
          <w:i/>
          <w:sz w:val="20"/>
          <w:szCs w:val="22"/>
        </w:rPr>
        <w:t> </w:t>
      </w:r>
    </w:p>
    <w:p w:rsidR="005E6FDD" w:rsidRPr="009A4F02" w:rsidRDefault="005E6FDD" w:rsidP="005E6FDD">
      <w:pPr>
        <w:rPr>
          <w:rFonts w:cs="Calibri"/>
          <w:i/>
          <w:sz w:val="20"/>
          <w:szCs w:val="22"/>
          <w:u w:val="single"/>
        </w:rPr>
      </w:pPr>
      <w:r w:rsidRPr="009A4F02">
        <w:rPr>
          <w:rFonts w:cs="Calibri"/>
          <w:i/>
          <w:sz w:val="20"/>
          <w:szCs w:val="22"/>
        </w:rPr>
        <w:t>Forward-looking statements reflect our current expectations, based on currently available information, and are not guarantees of performance. Although we believe that the expectations reflected in such forward-looking statements are based on reasonable assumptions, these expectations could prove inaccurate as such statements involve risks and uncertainties, many of which are beyond our ability to control or predict. Should one or more of these risks or uncertainties, or other risks or uncertainties not currently known to us or that we currently deem to be immaterial, materialize, or should underlying assumptions prove incorrect, actual results may vary materially from those anticipated, estimated or projected.  For these reasons, we caution you against relying on forward-looking statements, which speak only as of the date on which they are made. Except as may be required by applicable law, we undertake no obligation to update any forward-looking statements to reflect events or circumstances after the date on which they are made or to reflect the occurrence of unanticipated events.</w:t>
      </w:r>
    </w:p>
    <w:p w:rsidR="002C13DB" w:rsidRDefault="002C13DB"/>
    <w:p w:rsidR="005E6FDD" w:rsidRPr="00125A74" w:rsidRDefault="005E6FDD" w:rsidP="005E6FDD">
      <w:pPr>
        <w:rPr>
          <w:b/>
        </w:rPr>
      </w:pPr>
      <w:r w:rsidRPr="00125A74">
        <w:rPr>
          <w:rFonts w:cs="Calibri"/>
          <w:b/>
          <w:szCs w:val="22"/>
        </w:rPr>
        <w:t>Contact</w:t>
      </w:r>
      <w:r>
        <w:rPr>
          <w:rFonts w:cs="Calibri"/>
          <w:b/>
          <w:szCs w:val="22"/>
        </w:rPr>
        <w:t>s</w:t>
      </w:r>
      <w:r w:rsidRPr="00125A74">
        <w:rPr>
          <w:rFonts w:cs="Calibri"/>
          <w:b/>
          <w:szCs w:val="22"/>
        </w:rPr>
        <w:t>:</w:t>
      </w:r>
    </w:p>
    <w:p w:rsidR="005E6FDD" w:rsidRDefault="005E6FDD" w:rsidP="005E6FDD">
      <w:pPr>
        <w:rPr>
          <w:rFonts w:cs="Calibri"/>
          <w:szCs w:val="22"/>
          <w:highlight w:val="yellow"/>
        </w:rPr>
      </w:pPr>
    </w:p>
    <w:p w:rsidR="005E6FDD" w:rsidRPr="005E6FDD" w:rsidRDefault="005E6FDD" w:rsidP="005E6FDD">
      <w:pPr>
        <w:rPr>
          <w:rFonts w:cs="Calibri"/>
          <w:szCs w:val="22"/>
          <w:u w:val="single"/>
        </w:rPr>
      </w:pPr>
      <w:r w:rsidRPr="00125A74">
        <w:rPr>
          <w:rFonts w:cs="Calibri"/>
          <w:szCs w:val="22"/>
          <w:u w:val="single"/>
        </w:rPr>
        <w:t>Bi-Lo Holdings</w:t>
      </w:r>
      <w:r w:rsidRPr="005E6FDD">
        <w:rPr>
          <w:rFonts w:cs="Calibri"/>
          <w:szCs w:val="22"/>
        </w:rPr>
        <w:t xml:space="preserve"> </w:t>
      </w:r>
      <w:r w:rsidRPr="005E6FDD">
        <w:rPr>
          <w:rFonts w:cs="Calibri"/>
          <w:szCs w:val="22"/>
        </w:rPr>
        <w:tab/>
      </w:r>
      <w:r w:rsidRPr="005E6FDD">
        <w:rPr>
          <w:rFonts w:cs="Calibri"/>
          <w:szCs w:val="22"/>
        </w:rPr>
        <w:tab/>
      </w:r>
      <w:r w:rsidRPr="005E6FDD">
        <w:rPr>
          <w:rFonts w:cs="Calibri"/>
          <w:szCs w:val="22"/>
        </w:rPr>
        <w:tab/>
      </w:r>
      <w:r w:rsidRPr="005E6FDD">
        <w:rPr>
          <w:rFonts w:cs="Calibri"/>
          <w:szCs w:val="22"/>
        </w:rPr>
        <w:tab/>
      </w:r>
      <w:r w:rsidRPr="005E6FDD">
        <w:rPr>
          <w:rFonts w:cs="Calibri"/>
          <w:szCs w:val="22"/>
        </w:rPr>
        <w:tab/>
      </w:r>
      <w:r w:rsidRPr="005E6FDD">
        <w:rPr>
          <w:rFonts w:cs="Calibri"/>
          <w:szCs w:val="22"/>
        </w:rPr>
        <w:tab/>
      </w:r>
      <w:r w:rsidRPr="00125A74">
        <w:rPr>
          <w:rFonts w:cs="Calibri"/>
          <w:szCs w:val="22"/>
          <w:u w:val="single"/>
        </w:rPr>
        <w:t>Piggly Wiggly Carolina</w:t>
      </w:r>
      <w:r>
        <w:rPr>
          <w:rFonts w:cs="Calibri"/>
          <w:szCs w:val="22"/>
          <w:u w:val="single"/>
        </w:rPr>
        <w:t xml:space="preserve"> Company</w:t>
      </w:r>
    </w:p>
    <w:p w:rsidR="005E6FDD" w:rsidRPr="005E6FDD" w:rsidRDefault="005E6FDD" w:rsidP="005E6FDD">
      <w:pPr>
        <w:rPr>
          <w:rFonts w:cs="Calibri"/>
          <w:color w:val="000000" w:themeColor="text1"/>
          <w:szCs w:val="22"/>
        </w:rPr>
      </w:pPr>
      <w:r>
        <w:rPr>
          <w:rFonts w:cs="Calibri"/>
          <w:szCs w:val="22"/>
        </w:rPr>
        <w:t>Brian Wright</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r w:rsidRPr="00154F0D">
        <w:rPr>
          <w:rFonts w:cs="Calibri"/>
          <w:color w:val="000000" w:themeColor="text1"/>
          <w:szCs w:val="22"/>
        </w:rPr>
        <w:t>Christopher Ibsen</w:t>
      </w:r>
    </w:p>
    <w:p w:rsidR="005E6FDD" w:rsidRPr="005E6FDD" w:rsidRDefault="005E6FDD" w:rsidP="005E6FDD">
      <w:pPr>
        <w:rPr>
          <w:rFonts w:cs="Calibri"/>
          <w:color w:val="000000" w:themeColor="text1"/>
          <w:szCs w:val="22"/>
        </w:rPr>
      </w:pPr>
      <w:r>
        <w:rPr>
          <w:rFonts w:cs="Calibri"/>
          <w:szCs w:val="22"/>
        </w:rPr>
        <w:t>Vice President, Communications &amp; Community</w:t>
      </w:r>
      <w:r>
        <w:rPr>
          <w:rFonts w:cs="Calibri"/>
          <w:szCs w:val="22"/>
        </w:rPr>
        <w:tab/>
      </w:r>
      <w:r>
        <w:rPr>
          <w:rFonts w:cs="Calibri"/>
          <w:szCs w:val="22"/>
        </w:rPr>
        <w:tab/>
      </w:r>
      <w:r w:rsidRPr="00154F0D">
        <w:rPr>
          <w:rFonts w:cs="Calibri"/>
          <w:color w:val="000000" w:themeColor="text1"/>
          <w:szCs w:val="22"/>
        </w:rPr>
        <w:t>Director of Corporate Affairs</w:t>
      </w:r>
    </w:p>
    <w:p w:rsidR="005E6FDD" w:rsidRPr="005E6FDD" w:rsidRDefault="005E6FDD" w:rsidP="005E6FDD">
      <w:pPr>
        <w:rPr>
          <w:rFonts w:cs="Calibri"/>
          <w:color w:val="000000" w:themeColor="text1"/>
          <w:szCs w:val="22"/>
        </w:rPr>
      </w:pPr>
      <w:r>
        <w:rPr>
          <w:rFonts w:cs="Calibri"/>
          <w:szCs w:val="22"/>
        </w:rPr>
        <w:t>904-370-6104</w:t>
      </w:r>
      <w:r>
        <w:rPr>
          <w:rFonts w:cs="Calibri"/>
          <w:szCs w:val="22"/>
        </w:rPr>
        <w:tab/>
      </w:r>
      <w:r>
        <w:rPr>
          <w:rFonts w:cs="Calibri"/>
          <w:szCs w:val="22"/>
        </w:rPr>
        <w:tab/>
      </w:r>
      <w:r>
        <w:rPr>
          <w:rFonts w:cs="Calibri"/>
          <w:szCs w:val="22"/>
        </w:rPr>
        <w:tab/>
      </w:r>
      <w:r>
        <w:rPr>
          <w:rFonts w:cs="Calibri"/>
          <w:szCs w:val="22"/>
        </w:rPr>
        <w:tab/>
      </w:r>
      <w:r>
        <w:rPr>
          <w:rFonts w:cs="Calibri"/>
          <w:szCs w:val="22"/>
        </w:rPr>
        <w:tab/>
      </w:r>
      <w:r>
        <w:rPr>
          <w:rFonts w:cs="Calibri"/>
          <w:szCs w:val="22"/>
        </w:rPr>
        <w:tab/>
      </w:r>
      <w:r w:rsidRPr="00154F0D">
        <w:rPr>
          <w:rFonts w:cs="Calibri"/>
          <w:color w:val="000000" w:themeColor="text1"/>
          <w:szCs w:val="22"/>
        </w:rPr>
        <w:t>843-554-9880 x8118</w:t>
      </w:r>
    </w:p>
    <w:p w:rsidR="005E6FDD" w:rsidRDefault="00EA2A59" w:rsidP="005E6FDD">
      <w:pPr>
        <w:rPr>
          <w:rFonts w:cs="Calibri"/>
          <w:color w:val="000000" w:themeColor="text1"/>
          <w:szCs w:val="22"/>
        </w:rPr>
      </w:pPr>
      <w:hyperlink r:id="rId11" w:history="1">
        <w:r w:rsidR="005E6FDD" w:rsidRPr="00C459A5">
          <w:rPr>
            <w:rStyle w:val="Hyperlink"/>
            <w:rFonts w:cs="Calibri"/>
            <w:szCs w:val="22"/>
          </w:rPr>
          <w:t>brianwright@biloholdings.com</w:t>
        </w:r>
      </w:hyperlink>
      <w:r w:rsidR="005E6FDD">
        <w:rPr>
          <w:rFonts w:cs="Calibri"/>
          <w:szCs w:val="22"/>
        </w:rPr>
        <w:tab/>
      </w:r>
      <w:r w:rsidR="005E6FDD">
        <w:rPr>
          <w:rFonts w:cs="Calibri"/>
          <w:szCs w:val="22"/>
        </w:rPr>
        <w:tab/>
      </w:r>
      <w:r w:rsidR="005E6FDD">
        <w:rPr>
          <w:rFonts w:cs="Calibri"/>
          <w:szCs w:val="22"/>
        </w:rPr>
        <w:tab/>
      </w:r>
      <w:r w:rsidR="005E6FDD">
        <w:rPr>
          <w:rFonts w:cs="Calibri"/>
          <w:szCs w:val="22"/>
        </w:rPr>
        <w:tab/>
      </w:r>
      <w:hyperlink r:id="rId12" w:history="1">
        <w:r w:rsidR="005E6FDD" w:rsidRPr="00C459A5">
          <w:rPr>
            <w:rStyle w:val="Hyperlink"/>
            <w:rFonts w:cs="Calibri"/>
            <w:szCs w:val="22"/>
          </w:rPr>
          <w:t>christopheribsen@thepig.net</w:t>
        </w:r>
      </w:hyperlink>
    </w:p>
    <w:p w:rsidR="002C13DB" w:rsidRDefault="002C13DB"/>
    <w:p w:rsidR="005E6FDD" w:rsidRDefault="005E6FDD" w:rsidP="005E6FDD">
      <w:pPr>
        <w:jc w:val="center"/>
      </w:pPr>
      <w:r>
        <w:t>###</w:t>
      </w:r>
    </w:p>
    <w:sectPr w:rsidR="005E6FDD" w:rsidSect="005E6FDD">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923" w:rsidRPr="001A0562" w:rsidRDefault="00D84923" w:rsidP="002C13DB">
      <w:pPr>
        <w:rPr>
          <w:rFonts w:cs="Calibri"/>
          <w:color w:val="000000"/>
          <w:szCs w:val="22"/>
        </w:rPr>
      </w:pPr>
      <w:r>
        <w:separator/>
      </w:r>
    </w:p>
  </w:endnote>
  <w:endnote w:type="continuationSeparator" w:id="0">
    <w:p w:rsidR="00D84923" w:rsidRPr="001A0562" w:rsidRDefault="00D84923" w:rsidP="002C13DB">
      <w:pPr>
        <w:rPr>
          <w:rFonts w:cs="Calibri"/>
          <w:color w:val="000000"/>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DB" w:rsidRDefault="002C13DB">
    <w:pPr>
      <w:pStyle w:val="Footer"/>
    </w:pPr>
    <w:r w:rsidRPr="002C13DB">
      <w:rPr>
        <w:noProof/>
      </w:rPr>
      <w:drawing>
        <wp:inline distT="0" distB="0" distL="0" distR="0">
          <wp:extent cx="4019550" cy="523875"/>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019550" cy="5238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923" w:rsidRPr="001A0562" w:rsidRDefault="00D84923" w:rsidP="002C13DB">
      <w:pPr>
        <w:rPr>
          <w:rFonts w:cs="Calibri"/>
          <w:color w:val="000000"/>
          <w:szCs w:val="22"/>
        </w:rPr>
      </w:pPr>
      <w:r>
        <w:separator/>
      </w:r>
    </w:p>
  </w:footnote>
  <w:footnote w:type="continuationSeparator" w:id="0">
    <w:p w:rsidR="00D84923" w:rsidRPr="001A0562" w:rsidRDefault="00D84923" w:rsidP="002C13DB">
      <w:pPr>
        <w:rPr>
          <w:rFonts w:cs="Calibri"/>
          <w:color w:val="000000"/>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DB" w:rsidRPr="009129E1" w:rsidRDefault="002C13DB" w:rsidP="002C13DB">
    <w:pPr>
      <w:tabs>
        <w:tab w:val="right" w:pos="9360"/>
      </w:tabs>
      <w:spacing w:before="100" w:beforeAutospacing="1" w:after="100" w:afterAutospacing="1"/>
      <w:rPr>
        <w:rFonts w:ascii="Cambria" w:hAnsi="Cambria"/>
        <w:noProof/>
      </w:rPr>
    </w:pPr>
    <w:r>
      <w:rPr>
        <w:noProof/>
      </w:rPr>
      <w:drawing>
        <wp:inline distT="0" distB="0" distL="0" distR="0">
          <wp:extent cx="2447925" cy="733425"/>
          <wp:effectExtent l="1905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2447925" cy="733425"/>
                  </a:xfrm>
                  <a:prstGeom prst="rect">
                    <a:avLst/>
                  </a:prstGeom>
                  <a:noFill/>
                  <a:ln w="9525">
                    <a:noFill/>
                    <a:miter lim="800000"/>
                    <a:headEnd/>
                    <a:tailEnd/>
                  </a:ln>
                </pic:spPr>
              </pic:pic>
            </a:graphicData>
          </a:graphic>
        </wp:inline>
      </w:drawing>
    </w:r>
    <w:r w:rsidRPr="009129E1">
      <w:rPr>
        <w:rFonts w:ascii="Times New Roman" w:hAnsi="Times New Roman"/>
        <w:smallCaps/>
        <w:sz w:val="40"/>
        <w:szCs w:val="40"/>
      </w:rPr>
      <w:t xml:space="preserve"> </w:t>
    </w:r>
    <w:r>
      <w:rPr>
        <w:rFonts w:ascii="Times New Roman" w:hAnsi="Times New Roman"/>
        <w:smallCaps/>
        <w:sz w:val="40"/>
        <w:szCs w:val="40"/>
      </w:rPr>
      <w:tab/>
    </w:r>
    <w:r w:rsidR="005E6FDD">
      <w:rPr>
        <w:rFonts w:cstheme="minorHAnsi"/>
        <w:b/>
        <w:smallCaps/>
        <w:noProof/>
        <w:sz w:val="72"/>
        <w:szCs w:val="72"/>
      </w:rPr>
      <w:drawing>
        <wp:inline distT="0" distB="0" distL="0" distR="0">
          <wp:extent cx="1838325" cy="409575"/>
          <wp:effectExtent l="19050" t="0" r="9525" b="0"/>
          <wp:docPr id="1" name="Picture 1" descr="C:\Users\wrighbm\Desktop\Press Rele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bm\Desktop\Press Release.png"/>
                  <pic:cNvPicPr>
                    <a:picLocks noChangeAspect="1" noChangeArrowheads="1"/>
                  </pic:cNvPicPr>
                </pic:nvPicPr>
                <pic:blipFill>
                  <a:blip r:embed="rId2"/>
                  <a:srcRect/>
                  <a:stretch>
                    <a:fillRect/>
                  </a:stretch>
                </pic:blipFill>
                <pic:spPr bwMode="auto">
                  <a:xfrm>
                    <a:off x="0" y="0"/>
                    <a:ext cx="1838325" cy="409575"/>
                  </a:xfrm>
                  <a:prstGeom prst="rect">
                    <a:avLst/>
                  </a:prstGeom>
                  <a:noFill/>
                  <a:ln w="9525">
                    <a:noFill/>
                    <a:miter lim="800000"/>
                    <a:headEnd/>
                    <a:tailEnd/>
                  </a:ln>
                </pic:spPr>
              </pic:pic>
            </a:graphicData>
          </a:graphic>
        </wp:inline>
      </w:drawing>
    </w:r>
  </w:p>
  <w:p w:rsidR="002C13DB" w:rsidRPr="00BF4956" w:rsidRDefault="002C13DB" w:rsidP="002C13DB">
    <w:pPr>
      <w:pStyle w:val="Header"/>
      <w:tabs>
        <w:tab w:val="clear" w:pos="9360"/>
        <w:tab w:val="right" w:pos="8550"/>
      </w:tabs>
      <w:jc w:val="center"/>
      <w:rPr>
        <w:rFonts w:cstheme="minorHAnsi"/>
        <w:sz w:val="20"/>
      </w:rPr>
    </w:pPr>
    <w:r w:rsidRPr="00BF4956">
      <w:rPr>
        <w:rFonts w:cstheme="minorHAnsi"/>
        <w:bCs/>
        <w:sz w:val="20"/>
      </w:rPr>
      <w:t>Bi-Lo Holdings, LLC | 5050 Edg</w:t>
    </w:r>
    <w:r>
      <w:rPr>
        <w:rFonts w:cstheme="minorHAnsi"/>
        <w:bCs/>
        <w:sz w:val="20"/>
      </w:rPr>
      <w:t>ewood Court | Jacksonville, FL</w:t>
    </w:r>
    <w:r w:rsidRPr="00BF4956">
      <w:rPr>
        <w:rFonts w:cstheme="minorHAnsi"/>
        <w:bCs/>
        <w:sz w:val="20"/>
      </w:rPr>
      <w:t xml:space="preserve">  32254 | (904) 783-5000</w:t>
    </w:r>
  </w:p>
  <w:p w:rsidR="002C13DB" w:rsidRPr="00BF4956" w:rsidRDefault="002C13DB" w:rsidP="002C13DB">
    <w:pPr>
      <w:pStyle w:val="Header"/>
    </w:pPr>
  </w:p>
  <w:p w:rsidR="002C13DB" w:rsidRDefault="002C13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76F"/>
    <w:multiLevelType w:val="hybridMultilevel"/>
    <w:tmpl w:val="A320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2C13DB"/>
    <w:rsid w:val="000925A3"/>
    <w:rsid w:val="002C126F"/>
    <w:rsid w:val="002C13DB"/>
    <w:rsid w:val="003F5A4D"/>
    <w:rsid w:val="005E6FDD"/>
    <w:rsid w:val="00D06431"/>
    <w:rsid w:val="00D84923"/>
    <w:rsid w:val="00EA2A59"/>
    <w:rsid w:val="00F47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DD"/>
    <w:pPr>
      <w:spacing w:after="0" w:line="240"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13DB"/>
    <w:pPr>
      <w:tabs>
        <w:tab w:val="center" w:pos="4680"/>
        <w:tab w:val="right" w:pos="9360"/>
      </w:tabs>
    </w:pPr>
  </w:style>
  <w:style w:type="character" w:customStyle="1" w:styleId="HeaderChar">
    <w:name w:val="Header Char"/>
    <w:basedOn w:val="DefaultParagraphFont"/>
    <w:link w:val="Header"/>
    <w:uiPriority w:val="99"/>
    <w:semiHidden/>
    <w:rsid w:val="002C13DB"/>
  </w:style>
  <w:style w:type="paragraph" w:styleId="Footer">
    <w:name w:val="footer"/>
    <w:basedOn w:val="Normal"/>
    <w:link w:val="FooterChar"/>
    <w:uiPriority w:val="99"/>
    <w:semiHidden/>
    <w:unhideWhenUsed/>
    <w:rsid w:val="002C13DB"/>
    <w:pPr>
      <w:tabs>
        <w:tab w:val="center" w:pos="4680"/>
        <w:tab w:val="right" w:pos="9360"/>
      </w:tabs>
    </w:pPr>
  </w:style>
  <w:style w:type="character" w:customStyle="1" w:styleId="FooterChar">
    <w:name w:val="Footer Char"/>
    <w:basedOn w:val="DefaultParagraphFont"/>
    <w:link w:val="Footer"/>
    <w:uiPriority w:val="99"/>
    <w:semiHidden/>
    <w:rsid w:val="002C13DB"/>
  </w:style>
  <w:style w:type="paragraph" w:styleId="BalloonText">
    <w:name w:val="Balloon Text"/>
    <w:basedOn w:val="Normal"/>
    <w:link w:val="BalloonTextChar"/>
    <w:uiPriority w:val="99"/>
    <w:semiHidden/>
    <w:unhideWhenUsed/>
    <w:rsid w:val="002C13DB"/>
    <w:rPr>
      <w:rFonts w:ascii="Tahoma" w:hAnsi="Tahoma" w:cs="Tahoma"/>
      <w:sz w:val="16"/>
      <w:szCs w:val="16"/>
    </w:rPr>
  </w:style>
  <w:style w:type="character" w:customStyle="1" w:styleId="BalloonTextChar">
    <w:name w:val="Balloon Text Char"/>
    <w:basedOn w:val="DefaultParagraphFont"/>
    <w:link w:val="BalloonText"/>
    <w:uiPriority w:val="99"/>
    <w:semiHidden/>
    <w:rsid w:val="002C13DB"/>
    <w:rPr>
      <w:rFonts w:ascii="Tahoma" w:hAnsi="Tahoma" w:cs="Tahoma"/>
      <w:sz w:val="16"/>
      <w:szCs w:val="16"/>
    </w:rPr>
  </w:style>
  <w:style w:type="paragraph" w:styleId="ListParagraph">
    <w:name w:val="List Paragraph"/>
    <w:basedOn w:val="Normal"/>
    <w:uiPriority w:val="34"/>
    <w:qFormat/>
    <w:rsid w:val="005E6FDD"/>
    <w:pPr>
      <w:ind w:left="720"/>
      <w:contextualSpacing/>
    </w:pPr>
  </w:style>
  <w:style w:type="character" w:styleId="Hyperlink">
    <w:name w:val="Hyperlink"/>
    <w:basedOn w:val="DefaultParagraphFont"/>
    <w:uiPriority w:val="99"/>
    <w:unhideWhenUsed/>
    <w:rsid w:val="005E6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topheribsen@thepig.net"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wright@biloholdings.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winn-dixi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369C79466B51840A6FF67D246CA89B3" ma:contentTypeVersion="0" ma:contentTypeDescription="Create a new document." ma:contentTypeScope="" ma:versionID="0d982a8ab722d1449a8804f0536e78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3A6B6-5545-4E9E-B040-50F62B99273A}"/>
</file>

<file path=customXml/itemProps2.xml><?xml version="1.0" encoding="utf-8"?>
<ds:datastoreItem xmlns:ds="http://schemas.openxmlformats.org/officeDocument/2006/customXml" ds:itemID="{88072B55-DEDB-481C-A000-D7DBEF57F7EB}"/>
</file>

<file path=customXml/itemProps3.xml><?xml version="1.0" encoding="utf-8"?>
<ds:datastoreItem xmlns:ds="http://schemas.openxmlformats.org/officeDocument/2006/customXml" ds:itemID="{06B5B556-9877-4D8B-A99A-B7DE8AE6E381}"/>
</file>

<file path=customXml/itemProps4.xml><?xml version="1.0" encoding="utf-8"?>
<ds:datastoreItem xmlns:ds="http://schemas.openxmlformats.org/officeDocument/2006/customXml" ds:itemID="{12A5A1A4-37A1-4233-8292-D1A9860778BB}"/>
</file>

<file path=docProps/app.xml><?xml version="1.0" encoding="utf-8"?>
<Properties xmlns="http://schemas.openxmlformats.org/officeDocument/2006/extended-properties" xmlns:vt="http://schemas.openxmlformats.org/officeDocument/2006/docPropsVTypes">
  <Template>Normal.dotm</Template>
  <TotalTime>3</TotalTime>
  <Pages>2</Pages>
  <Words>879</Words>
  <Characters>5014</Characters>
  <Application>Microsoft Office Word</Application>
  <DocSecurity>0</DocSecurity>
  <Lines>41</Lines>
  <Paragraphs>11</Paragraphs>
  <ScaleCrop>false</ScaleCrop>
  <Company>Winn-Dixie Stores, Inc.</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Wright</dc:creator>
  <cp:lastModifiedBy>Brian Wright</cp:lastModifiedBy>
  <cp:revision>3</cp:revision>
  <cp:lastPrinted>2013-09-11T23:58:00Z</cp:lastPrinted>
  <dcterms:created xsi:type="dcterms:W3CDTF">2013-09-12T00:01:00Z</dcterms:created>
  <dcterms:modified xsi:type="dcterms:W3CDTF">2013-09-12T01:15:00Z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0x0101004369C79466B51840A6FF67D246CA89B3</vt:lpwstr>
  </property>
</Properties>
</file>